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4E" w:rsidRDefault="00D47CB0">
      <w:pPr>
        <w:tabs>
          <w:tab w:val="center" w:pos="6979"/>
          <w:tab w:val="left" w:pos="10860"/>
        </w:tabs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</w:t>
      </w:r>
      <w:r>
        <w:rPr>
          <w:rFonts w:hint="eastAsia"/>
          <w:b/>
          <w:bCs/>
          <w:sz w:val="32"/>
        </w:rPr>
        <w:t>1</w:t>
      </w:r>
    </w:p>
    <w:p w:rsidR="00B7654E" w:rsidRDefault="00D47CB0">
      <w:pPr>
        <w:tabs>
          <w:tab w:val="center" w:pos="6979"/>
          <w:tab w:val="left" w:pos="10860"/>
        </w:tabs>
        <w:jc w:val="center"/>
        <w:rPr>
          <w:b/>
          <w:bCs/>
          <w:color w:val="FF0000"/>
          <w:sz w:val="32"/>
        </w:rPr>
      </w:pPr>
      <w:r>
        <w:rPr>
          <w:rFonts w:hint="eastAsia"/>
          <w:b/>
          <w:bCs/>
          <w:sz w:val="32"/>
        </w:rPr>
        <w:t>江苏省视力康复机构分级标准</w:t>
      </w:r>
    </w:p>
    <w:tbl>
      <w:tblPr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4111"/>
        <w:gridCol w:w="4110"/>
        <w:gridCol w:w="3898"/>
        <w:gridCol w:w="735"/>
        <w:gridCol w:w="720"/>
      </w:tblGrid>
      <w:tr w:rsidR="00B7654E">
        <w:tblPrEx>
          <w:tblCellMar>
            <w:top w:w="0" w:type="dxa"/>
            <w:bottom w:w="0" w:type="dxa"/>
          </w:tblCellMar>
        </w:tblPrEx>
        <w:trPr>
          <w:trHeight w:val="392"/>
          <w:tblHeader/>
        </w:trPr>
        <w:tc>
          <w:tcPr>
            <w:tcW w:w="959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主指标</w:t>
            </w:r>
            <w:proofErr w:type="gramEnd"/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分指标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三级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二级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一级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分值</w:t>
            </w:r>
          </w:p>
        </w:tc>
        <w:tc>
          <w:tcPr>
            <w:tcW w:w="72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得分</w:t>
            </w: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959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从业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资格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必达条件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政府相关职能部门注册登记；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有独立法人资格；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有医疗资质。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政府相关职能部门注册登记；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有独立法人资格；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8"/>
                <w:sz w:val="24"/>
              </w:rPr>
              <w:t>有医疗资质。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政府相关职能部门注册登记；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有独立法人资格。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  <w:tc>
          <w:tcPr>
            <w:tcW w:w="1455" w:type="dxa"/>
            <w:gridSpan w:val="2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一项不具备不达该级</w:t>
            </w: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627"/>
        </w:trPr>
        <w:tc>
          <w:tcPr>
            <w:tcW w:w="959" w:type="dxa"/>
            <w:vMerge w:val="restart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制度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建设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7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kern w:val="0"/>
                <w:sz w:val="24"/>
              </w:rPr>
              <w:t>机构管理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有财务管理、卫生保健、应急处置等规章制度；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有人员岗位职责；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有康复服务规程。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有财务管理、卫生保健、应急处置等规章制度；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有人员岗位职责；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有康复服务规程。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有财务管理、卫生保健、应急处置等规章制度；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有人员岗位职责；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有康复服务规程。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747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经费管理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有项目经费、固定资产管理制度；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项目经费专款专用，按规定用途开支；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项目经费收支手续完整齐全；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有项目经费年度审计报告。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有项目经费、固定资产管理制度；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项目经费专款专用，按规定用途开支；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项目经费收支手续完整齐全；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有项目经费年度审计报告。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有项目经费、固定资产管理制度；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项目经费专款专用，按规定用途开支；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项目经费收支手续完整齐全；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有项目经费年度审计报告。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959" w:type="dxa"/>
            <w:vMerge w:val="restart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规模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与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功能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28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kern w:val="0"/>
                <w:sz w:val="24"/>
              </w:rPr>
              <w:t>康复规模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人以上。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人以上。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常年在训人数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人以上。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kern w:val="0"/>
                <w:sz w:val="24"/>
              </w:rPr>
              <w:t>场地面积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平方米以上，业务用房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平方米以上。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平方米，业务用房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平方米以上。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建筑面积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平方米以上，业务用房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平方米以上。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2242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pacing w:val="-20"/>
                <w:kern w:val="0"/>
                <w:sz w:val="24"/>
              </w:rPr>
              <w:t>功能设置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视力检测评估室、视功能训练室、助视器验配室；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定向行走训练室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平方米左右；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教师（治疗师）办公室、资料档案室、多功能训练室（家长咨询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培训室）。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视力检测评估室、视功能训练室、助视器验配室；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定向行走训练室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平方米左右；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教师（治疗师）办公室、多功能训练室（家长咨询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培训室）。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视力检测评估室、视功能训练室、助视器验配室；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定向行走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训练室约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多功能训练室（家长咨询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培训室）。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2711"/>
        </w:trPr>
        <w:tc>
          <w:tcPr>
            <w:tcW w:w="959" w:type="dxa"/>
            <w:vMerge w:val="restart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康复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设备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康复评估设备</w:t>
            </w:r>
          </w:p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kern w:val="0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眼科常用设备，眼底镜、检眼镜、验光设备、裂隙灯、同视机等；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助视器配镜箱、普通验光配镜箱；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国际标准视力表（远用、近用）；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低视力专用视力表；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0.3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厘米白色小球、直径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厘米乒乓球，直径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厘米红色球；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定向行走教学、训练、评估仪。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眼科常用设备，眼底镜、检眼镜、裂隙灯；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助视器配镜箱、普通验光配镜箱；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国际标准视力表（远用、近用）；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低视力专用视力表；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0.3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厘米白色小球、直径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厘米乒乓球，直径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厘米红色球。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眼科常用设备，眼底镜、检眼镜、裂隙灯；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助视器配镜箱、普通验光配镜箱；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国际标准视力表（远用、近用）；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低视力专用视力表；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0.3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厘米白色小球、直径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厘米乒乓球，直径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厘米红色球。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2384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康复训练设备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认知图片；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增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视训练仪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、手眼协调训练包、眼镜、同视机；</w:t>
            </w:r>
          </w:p>
          <w:p w:rsidR="00B7654E" w:rsidRDefault="00D47CB0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各种类型助视器；</w:t>
            </w:r>
          </w:p>
          <w:p w:rsidR="00B7654E" w:rsidRDefault="00D47CB0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精细目力训练设备（大小珠子、钱、图谱）及器材；</w:t>
            </w:r>
          </w:p>
          <w:p w:rsidR="00B7654E" w:rsidRDefault="00D47CB0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电脑软件训练。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认知图片；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增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视训练仪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、手眼协调训练包、眼镜；</w:t>
            </w:r>
          </w:p>
          <w:p w:rsidR="00B7654E" w:rsidRDefault="00D47CB0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各种类型助视器；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精细目力训练设备（大小珠子、钱、图谱）及器材。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电脑软件训练。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认知图片；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手眼协调训练包、眼镜；</w:t>
            </w:r>
          </w:p>
          <w:p w:rsidR="00B7654E" w:rsidRDefault="00D47CB0">
            <w:pPr>
              <w:widowControl/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各种类型助视器；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精细目力训练设备（大小珠子、钱、图谱）及器材；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990"/>
        </w:trPr>
        <w:tc>
          <w:tcPr>
            <w:tcW w:w="959" w:type="dxa"/>
            <w:vMerge w:val="restart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B7654E" w:rsidRDefault="00B7654E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专业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建设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16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人员配置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康复治疗师生配比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，康复专业技术人员不低于职工总数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康复治疗师生配比不低于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，康复专业技术人员不低于职工总数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left" w:pos="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康复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治疗师生配比不低于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：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，康复专业技术人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员不低于职工总数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2057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专业人员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专职人员具有大专或以上学历，有相关视光学或眼科专业背景；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从事视力康复工作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年以上占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具有中级以上专业技术职称占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专职人员具有大专或以上学历，有相关视光学或眼科专业背景；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从事视力康复工作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年以上的占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具有中级以上专业技术职称占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专职人员具有大专或以上学历，有相关视光学或眼科专业背景；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从事视力康复工作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年以上的占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总专业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技术人员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以上。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583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教研培训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1.有计划地组织专业人员参加国家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和省残联组织的业务培训。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每年应有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的专业人员参加继续教育，并达到相应学分要求。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参加国家和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省残联组织的业务培训。</w:t>
            </w:r>
          </w:p>
        </w:tc>
        <w:tc>
          <w:tcPr>
            <w:tcW w:w="3898" w:type="dxa"/>
            <w:vAlign w:val="center"/>
          </w:tcPr>
          <w:p w:rsidR="00B7654E" w:rsidRDefault="00D47CB0" w:rsidP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参加国家和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省残联组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织的业务培训。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959" w:type="dxa"/>
            <w:vMerge w:val="restart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lastRenderedPageBreak/>
              <w:t>业务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职能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21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康复评估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视力评估（生理视力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功能视力）、发展评估（认知评估）、感觉和运动评估、生活技能评估、环境支持能力评估、沟通交际评估、定向行走能力评估等。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视力评估（生理视力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功能视力）。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/>
                <w:bCs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视力评估（生理视力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功能视力）。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3230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康复训练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每名患者机构内康复训练时间至少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个月；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训练内容：低视力早期干预、功能视力训练（基础训练、视觉技能）、助视器使用训练、弱视训练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定向行走能力训练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康复训练应依据评估情况，制定训练计划和目标，并依据每次评估适时调整训练计划，做到评估、训练、目标相一致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每日基本康复训练至少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课时。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每名患者机构内康复训练时间至少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个月；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训练内容：低视力早期干预、功能视力训练（基础训练、视觉技能）、助视器使用训练、弱视训练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康复训练应依据评估情况，制定训练计划和目标，并依据每次评估适时调整训练计划，基本做到评估、训练、目标相一致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每日基本康复训练至少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课时。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每名患者机构内康复训练时间至少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个月；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训练内容：低视力早期干预、功能视力训练（基础训练、视觉技能）、助视器使用训练、弱视训练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康复训练应依据评估情况，制定训练计划和目标，并依据每次评估适时调整训练计划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每日基本康复训练至少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课时。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2097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社区指导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家庭康复指导每月至少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0.5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开展有效转介和后续跟踪服务；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开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展残疾预防宣传教育每年至少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次。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家庭康复指导每月至少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0.5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开展有效转介和后续跟踪服务；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开展残疾预防宣传教育每年至少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pacing w:val="-11"/>
                <w:sz w:val="24"/>
              </w:rPr>
              <w:t>次。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家长培训每月至少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家庭康复指导每月至少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次，每次至少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0.5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小时；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14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开展有效转介和后续跟踪服务；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开展残疾预防宣传教育每年至少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pacing w:val="-17"/>
                <w:sz w:val="24"/>
              </w:rPr>
              <w:t>次。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3008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档案管理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建立儿童康复训练与评估档案（含文字、图片、音像资料）、授课教案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等业务档案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pacing w:val="-9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数据准确可靠，资料保存完整，并定期进行分析总结。</w:t>
            </w:r>
          </w:p>
          <w:p w:rsidR="00B7654E" w:rsidRDefault="00D47CB0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专业人员培训及家长培训等建立档案；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与家长（亲友）签订康复协议。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建立儿童康复训练与评估档案（含文字、图片、音像资料）、授课教案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等业务档案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spacing w:val="-9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数据准确可靠，资料保存完整，并定期进行分析总结。</w:t>
            </w:r>
          </w:p>
          <w:p w:rsidR="00B7654E" w:rsidRDefault="00D47CB0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专业人员培训及家长培训等建立档案；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与家长（亲友）签订康复协议。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建立儿童康复训练与评估档案（含文字、图片、音像资料）、授课教案等业务档案。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儿童训练档案有月目标，周目标，训练记录，完成情况，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数据准确可靠，资料保存完整，并定期进行分析总结。</w:t>
            </w:r>
          </w:p>
          <w:p w:rsidR="00B7654E" w:rsidRDefault="00D47CB0">
            <w:pPr>
              <w:rPr>
                <w:rFonts w:ascii="仿宋_GB2312" w:eastAsia="仿宋_GB2312" w:hAnsi="仿宋_GB2312" w:cs="仿宋_GB2312"/>
                <w:spacing w:val="-9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专业人员培训及家长培训等建立档案；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与家</w:t>
            </w:r>
            <w:r>
              <w:rPr>
                <w:rFonts w:ascii="仿宋_GB2312" w:eastAsia="仿宋_GB2312" w:hAnsi="仿宋_GB2312" w:cs="仿宋_GB2312" w:hint="eastAsia"/>
                <w:spacing w:val="-9"/>
                <w:sz w:val="24"/>
              </w:rPr>
              <w:t>长（亲友）签订康复协议。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602"/>
        </w:trPr>
        <w:tc>
          <w:tcPr>
            <w:tcW w:w="959" w:type="dxa"/>
            <w:vMerge w:val="restart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lastRenderedPageBreak/>
              <w:t>康复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效果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18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质量指标</w:t>
            </w: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康复评估率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康复档案建立率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家长对康复训练效果满意率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康复训练总有效率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家长培训率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100%;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回访跟踪服务率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60%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康复评估率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康复档案建立率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家长对康复训练效果满意率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85%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康复训练总有效率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85%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家长培训率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100%;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回访跟踪服务率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50%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康复评估率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康复档案建立率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家长对康复训练效果满意率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85%</w:t>
            </w:r>
            <w:r>
              <w:rPr>
                <w:rFonts w:ascii="仿宋_GB2312" w:eastAsia="仿宋_GB2312" w:hAnsi="仿宋_GB2312" w:cs="仿宋_GB2312" w:hint="eastAsia"/>
                <w:spacing w:val="-6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康复训练总有效率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85%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5.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家长培训率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100%;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6.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回访跟踪服务率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40%</w:t>
            </w:r>
            <w:r>
              <w:rPr>
                <w:rFonts w:ascii="仿宋_GB2312" w:eastAsia="仿宋_GB2312" w:hAnsi="仿宋_GB2312" w:cs="仿宋_GB2312" w:hint="eastAsia"/>
                <w:spacing w:val="-14"/>
                <w:sz w:val="24"/>
              </w:rPr>
              <w:t>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rPr>
          <w:trHeight w:val="1817"/>
        </w:trPr>
        <w:tc>
          <w:tcPr>
            <w:tcW w:w="959" w:type="dxa"/>
            <w:vMerge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任务完成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kern w:val="0"/>
                <w:sz w:val="24"/>
              </w:rPr>
              <w:t>情况</w:t>
            </w:r>
          </w:p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4111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完成属地残联下达的康复训练和康复知识、残疾预防宣传任务；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发挥技术中心作用，每年组织培训基层技术骨干不少于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人；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每年按残联要求组织人员指导其他机构工作。</w:t>
            </w:r>
          </w:p>
        </w:tc>
        <w:tc>
          <w:tcPr>
            <w:tcW w:w="4110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完成属地残联下达的康复训练和康复知识、残疾预防宣传任务；　　　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每年按属地残联要求完成康复技术人员和乡镇（街道）康复指导员（协调员）培训任务。</w:t>
            </w:r>
          </w:p>
        </w:tc>
        <w:tc>
          <w:tcPr>
            <w:tcW w:w="3898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snapToGrid w:val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100%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完成属地残联下达的康复训练和康复知识、残疾预防宣传任务；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每年按属地残联要求完成康复技术人员和乡镇（街道）康复指导员（协调员）培训任务。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加分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项目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0"/>
                <w:sz w:val="24"/>
              </w:rPr>
              <w:t>分）</w:t>
            </w:r>
          </w:p>
        </w:tc>
        <w:tc>
          <w:tcPr>
            <w:tcW w:w="13253" w:type="dxa"/>
            <w:gridSpan w:val="4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纳入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医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保报销加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分。</w:t>
            </w:r>
          </w:p>
        </w:tc>
        <w:tc>
          <w:tcPr>
            <w:tcW w:w="735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  <w:tc>
          <w:tcPr>
            <w:tcW w:w="720" w:type="dxa"/>
            <w:vAlign w:val="center"/>
          </w:tcPr>
          <w:p w:rsidR="00B7654E" w:rsidRDefault="00B7654E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</w:p>
        </w:tc>
      </w:tr>
      <w:tr w:rsidR="00B7654E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备注</w:t>
            </w:r>
          </w:p>
        </w:tc>
        <w:tc>
          <w:tcPr>
            <w:tcW w:w="14708" w:type="dxa"/>
            <w:gridSpan w:val="6"/>
          </w:tcPr>
          <w:p w:rsidR="00B7654E" w:rsidRDefault="00D47CB0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1.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认证按康复机构申报级别进行；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认证总分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105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分；</w:t>
            </w:r>
          </w:p>
          <w:p w:rsidR="00B7654E" w:rsidRDefault="00D47CB0">
            <w:pPr>
              <w:tabs>
                <w:tab w:val="center" w:pos="6979"/>
                <w:tab w:val="left" w:pos="10860"/>
              </w:tabs>
              <w:jc w:val="left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每级别得分达到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90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分（含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90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分）以上为合格，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90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分以下为不合格。</w:t>
            </w:r>
          </w:p>
        </w:tc>
      </w:tr>
    </w:tbl>
    <w:p w:rsidR="00B7654E" w:rsidRDefault="00B7654E"/>
    <w:sectPr w:rsidR="00B7654E"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654E"/>
    <w:rsid w:val="00B7654E"/>
    <w:rsid w:val="00D4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nhideWhenUsed="0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sz w:val="24"/>
    </w:rPr>
  </w:style>
  <w:style w:type="paragraph" w:styleId="a4">
    <w:name w:val="Balloon Text"/>
    <w:basedOn w:val="a"/>
    <w:link w:val="Char0"/>
    <w:rPr>
      <w:sz w:val="18"/>
    </w:rPr>
  </w:style>
  <w:style w:type="paragraph" w:styleId="a5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CharChar">
    <w:name w:val="批注框文本 Char Char"/>
    <w:basedOn w:val="a"/>
    <w:link w:val="BalloonTextChar"/>
    <w:rPr>
      <w:sz w:val="18"/>
    </w:rPr>
  </w:style>
  <w:style w:type="paragraph" w:customStyle="1" w:styleId="1">
    <w:name w:val="批注主题1"/>
    <w:basedOn w:val="a3"/>
    <w:next w:val="a3"/>
    <w:link w:val="CommentSubjectChar"/>
    <w:rPr>
      <w:b/>
    </w:rPr>
  </w:style>
  <w:style w:type="character" w:customStyle="1" w:styleId="Char">
    <w:name w:val="批注文字 Char"/>
    <w:link w:val="a3"/>
    <w:semiHidden/>
    <w:rPr>
      <w:rFonts w:ascii="Times New Roman" w:hAnsi="Times New Roman" w:cs="Times New Roman"/>
      <w:kern w:val="2"/>
      <w:sz w:val="24"/>
    </w:rPr>
  </w:style>
  <w:style w:type="character" w:customStyle="1" w:styleId="Char0">
    <w:name w:val="批注框文本 Char"/>
    <w:link w:val="a4"/>
    <w:semiHidden/>
    <w:rPr>
      <w:rFonts w:ascii="Times New Roman" w:hAnsi="Times New Roman" w:cs="Times New Roman"/>
      <w:kern w:val="2"/>
      <w:sz w:val="18"/>
    </w:rPr>
  </w:style>
  <w:style w:type="character" w:customStyle="1" w:styleId="Char1">
    <w:name w:val="页脚 Char"/>
    <w:link w:val="a5"/>
    <w:semiHidden/>
    <w:rPr>
      <w:rFonts w:ascii="Times New Roman" w:eastAsia="宋体" w:hAnsi="Times New Roman" w:cs="Times New Roman"/>
      <w:sz w:val="18"/>
    </w:rPr>
  </w:style>
  <w:style w:type="character" w:customStyle="1" w:styleId="Char2">
    <w:name w:val="页眉 Char"/>
    <w:link w:val="a6"/>
    <w:semiHidden/>
    <w:rPr>
      <w:rFonts w:ascii="Times New Roman" w:eastAsia="宋体" w:hAnsi="Times New Roman" w:cs="Times New Roman"/>
      <w:sz w:val="18"/>
    </w:rPr>
  </w:style>
  <w:style w:type="character" w:customStyle="1" w:styleId="10">
    <w:name w:val="批注引用1"/>
    <w:rPr>
      <w:sz w:val="21"/>
    </w:rPr>
  </w:style>
  <w:style w:type="character" w:customStyle="1" w:styleId="BalloonTextChar">
    <w:name w:val="Balloon Text Char"/>
    <w:link w:val="CharChar"/>
    <w:semiHidden/>
    <w:rPr>
      <w:rFonts w:ascii="Times New Roman" w:hAnsi="Times New Roman"/>
      <w:kern w:val="2"/>
      <w:sz w:val="18"/>
    </w:rPr>
  </w:style>
  <w:style w:type="character" w:customStyle="1" w:styleId="CommentSubjectChar">
    <w:name w:val="Comment Subject Char"/>
    <w:link w:val="1"/>
    <w:semiHidden/>
    <w:rPr>
      <w:rFonts w:ascii="Times New Roman" w:hAnsi="Times New Roman"/>
      <w:b/>
      <w:kern w:val="2"/>
      <w:sz w:val="24"/>
    </w:rPr>
  </w:style>
  <w:style w:type="character" w:customStyle="1" w:styleId="2">
    <w:name w:val="批注引用2"/>
    <w:rPr>
      <w:rFonts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陈军</dc:creator>
  <cp:lastModifiedBy>陈军</cp:lastModifiedBy>
  <cp:revision>1</cp:revision>
  <dcterms:created xsi:type="dcterms:W3CDTF">2013-12-16T09:09:00Z</dcterms:created>
  <dcterms:modified xsi:type="dcterms:W3CDTF">2014-06-19T01:06:00Z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